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F5AEC" w14:textId="77777777" w:rsidR="002A6684" w:rsidRPr="002A6684" w:rsidRDefault="002A6684" w:rsidP="002A6684">
      <w:pPr>
        <w:shd w:val="clear" w:color="auto" w:fill="FAFAFA"/>
        <w:spacing w:before="180" w:after="60" w:line="480" w:lineRule="atLeast"/>
        <w:outlineLvl w:val="1"/>
        <w:rPr>
          <w:rFonts w:ascii="Aptos" w:eastAsia="Times New Roman" w:hAnsi="Aptos" w:cs="Segoe UI"/>
          <w:b/>
          <w:bCs/>
          <w:color w:val="000000" w:themeColor="text1"/>
          <w:spacing w:val="-4"/>
          <w:kern w:val="0"/>
          <w:sz w:val="36"/>
          <w:szCs w:val="36"/>
          <w:lang w:eastAsia="en-GB"/>
          <w14:ligatures w14:val="none"/>
        </w:rPr>
      </w:pPr>
      <w:r w:rsidRPr="002A6684">
        <w:rPr>
          <w:rFonts w:ascii="Aptos" w:eastAsia="Times New Roman" w:hAnsi="Aptos" w:cs="Segoe UI"/>
          <w:b/>
          <w:bCs/>
          <w:color w:val="000000" w:themeColor="text1"/>
          <w:spacing w:val="-4"/>
          <w:kern w:val="0"/>
          <w:sz w:val="36"/>
          <w:szCs w:val="36"/>
          <w:lang w:eastAsia="en-GB"/>
          <w14:ligatures w14:val="none"/>
        </w:rPr>
        <w:t>Hydrogen &amp; Synthetic Fuels: Explosion Protection for a New Energy Era</w:t>
      </w:r>
    </w:p>
    <w:p w14:paraId="316004EC" w14:textId="57E96C84" w:rsidR="002A6684" w:rsidRPr="002A6684" w:rsidRDefault="002A6684" w:rsidP="002A6684">
      <w:pPr>
        <w:shd w:val="clear" w:color="auto" w:fill="FAFAFA"/>
        <w:spacing w:before="120" w:after="60"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color w:val="000000" w:themeColor="text1"/>
          <w:kern w:val="0"/>
          <w:sz w:val="24"/>
          <w:szCs w:val="24"/>
          <w:lang w:eastAsia="en-GB"/>
          <w14:ligatures w14:val="none"/>
        </w:rPr>
        <w:t>Europe’s energy landscape is evolving rapidly. As investment accelerates in green hydrogen and synthetic fuels (e-fuels), the need for robust explosion protection is greater than ever. Ex-</w:t>
      </w:r>
      <w:r>
        <w:rPr>
          <w:rFonts w:ascii="Aptos" w:eastAsia="Times New Roman" w:hAnsi="Aptos" w:cs="Segoe UI"/>
          <w:color w:val="000000" w:themeColor="text1"/>
          <w:kern w:val="0"/>
          <w:sz w:val="24"/>
          <w:szCs w:val="24"/>
          <w:lang w:eastAsia="en-GB"/>
          <w14:ligatures w14:val="none"/>
        </w:rPr>
        <w:t>t</w:t>
      </w:r>
      <w:r w:rsidRPr="002A6684">
        <w:rPr>
          <w:rFonts w:ascii="Aptos" w:eastAsia="Times New Roman" w:hAnsi="Aptos" w:cs="Segoe UI"/>
          <w:color w:val="000000" w:themeColor="text1"/>
          <w:kern w:val="0"/>
          <w:sz w:val="24"/>
          <w:szCs w:val="24"/>
          <w:lang w:eastAsia="en-GB"/>
          <w14:ligatures w14:val="none"/>
        </w:rPr>
        <w:t>ech Signalling is at the forefront, providing certified signalling solutions that keep people and assets safe in these high-risk environments.</w:t>
      </w:r>
    </w:p>
    <w:p w14:paraId="4BA9AEDF" w14:textId="30F4D82C" w:rsidR="002A6684" w:rsidRPr="002A6684" w:rsidRDefault="002A6684" w:rsidP="002A6684">
      <w:pPr>
        <w:shd w:val="clear" w:color="auto" w:fill="FAFAFA"/>
        <w:spacing w:before="195" w:after="45" w:line="420" w:lineRule="atLeast"/>
        <w:outlineLvl w:val="2"/>
        <w:rPr>
          <w:rFonts w:ascii="Aptos" w:eastAsia="Times New Roman" w:hAnsi="Aptos" w:cs="Segoe UI"/>
          <w:b/>
          <w:bCs/>
          <w:color w:val="000000" w:themeColor="text1"/>
          <w:kern w:val="0"/>
          <w:sz w:val="30"/>
          <w:szCs w:val="30"/>
          <w:lang w:eastAsia="en-GB"/>
          <w14:ligatures w14:val="none"/>
        </w:rPr>
      </w:pPr>
      <w:r w:rsidRPr="002A6684">
        <w:rPr>
          <w:rFonts w:ascii="Aptos" w:eastAsia="Times New Roman" w:hAnsi="Aptos" w:cs="Segoe UI"/>
          <w:b/>
          <w:bCs/>
          <w:color w:val="000000" w:themeColor="text1"/>
          <w:kern w:val="0"/>
          <w:sz w:val="30"/>
          <w:szCs w:val="30"/>
          <w:lang w:eastAsia="en-GB"/>
          <w14:ligatures w14:val="none"/>
        </w:rPr>
        <w:t>From Traditional Refineries to Hydrogen &amp; Synfuels</w:t>
      </w:r>
    </w:p>
    <w:p w14:paraId="47A67262" w14:textId="77777777" w:rsidR="002A6684" w:rsidRPr="002A6684" w:rsidRDefault="002A6684" w:rsidP="002A6684">
      <w:pPr>
        <w:shd w:val="clear" w:color="auto" w:fill="FAFAFA"/>
        <w:spacing w:before="120" w:after="60"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color w:val="000000" w:themeColor="text1"/>
          <w:kern w:val="0"/>
          <w:sz w:val="24"/>
          <w:szCs w:val="24"/>
          <w:lang w:eastAsia="en-GB"/>
          <w14:ligatures w14:val="none"/>
        </w:rPr>
        <w:t>While new refinery and petrochemical builds in Europe have slowed, a new wave of energy infrastructure is emerging. Projects focused on hydrogen and synthetic fuels involve high volumes of flammable materials throughout their production and supply chains. From electrolysis hubs to methanol and Fischer-</w:t>
      </w:r>
      <w:proofErr w:type="spellStart"/>
      <w:r w:rsidRPr="002A6684">
        <w:rPr>
          <w:rFonts w:ascii="Aptos" w:eastAsia="Times New Roman" w:hAnsi="Aptos" w:cs="Segoe UI"/>
          <w:color w:val="000000" w:themeColor="text1"/>
          <w:kern w:val="0"/>
          <w:sz w:val="24"/>
          <w:szCs w:val="24"/>
          <w:lang w:eastAsia="en-GB"/>
          <w14:ligatures w14:val="none"/>
        </w:rPr>
        <w:t>Tropsch</w:t>
      </w:r>
      <w:proofErr w:type="spellEnd"/>
      <w:r w:rsidRPr="002A6684">
        <w:rPr>
          <w:rFonts w:ascii="Aptos" w:eastAsia="Times New Roman" w:hAnsi="Aptos" w:cs="Segoe UI"/>
          <w:color w:val="000000" w:themeColor="text1"/>
          <w:kern w:val="0"/>
          <w:sz w:val="24"/>
          <w:szCs w:val="24"/>
          <w:lang w:eastAsia="en-GB"/>
          <w14:ligatures w14:val="none"/>
        </w:rPr>
        <w:t xml:space="preserve"> (FT) facilities, and hydrogen-ready import terminals, the risk of explosion is significant. Every part of these operations requires equipment that is certified for hazardous areas.</w:t>
      </w:r>
    </w:p>
    <w:p w14:paraId="577EFD7B" w14:textId="77777777" w:rsidR="002A6684" w:rsidRPr="002A6684" w:rsidRDefault="002A6684" w:rsidP="002A6684">
      <w:pPr>
        <w:shd w:val="clear" w:color="auto" w:fill="FAFAFA"/>
        <w:spacing w:before="195" w:after="45" w:line="420" w:lineRule="atLeast"/>
        <w:outlineLvl w:val="2"/>
        <w:rPr>
          <w:rFonts w:ascii="Aptos" w:eastAsia="Times New Roman" w:hAnsi="Aptos" w:cs="Segoe UI"/>
          <w:b/>
          <w:bCs/>
          <w:color w:val="000000" w:themeColor="text1"/>
          <w:kern w:val="0"/>
          <w:sz w:val="30"/>
          <w:szCs w:val="30"/>
          <w:lang w:eastAsia="en-GB"/>
          <w14:ligatures w14:val="none"/>
        </w:rPr>
      </w:pPr>
      <w:r w:rsidRPr="002A6684">
        <w:rPr>
          <w:rFonts w:ascii="Aptos" w:eastAsia="Times New Roman" w:hAnsi="Aptos" w:cs="Segoe UI"/>
          <w:b/>
          <w:bCs/>
          <w:color w:val="000000" w:themeColor="text1"/>
          <w:kern w:val="0"/>
          <w:sz w:val="30"/>
          <w:szCs w:val="30"/>
          <w:lang w:eastAsia="en-GB"/>
          <w14:ligatures w14:val="none"/>
        </w:rPr>
        <w:t>Why Explosion-Proof Signalling Matters</w:t>
      </w:r>
    </w:p>
    <w:p w14:paraId="3DCF3665" w14:textId="37453417" w:rsidR="002A6684" w:rsidRPr="002A6684" w:rsidRDefault="002A6684" w:rsidP="002A6684">
      <w:pPr>
        <w:shd w:val="clear" w:color="auto" w:fill="FAFAFA"/>
        <w:spacing w:before="120" w:after="60"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color w:val="000000" w:themeColor="text1"/>
          <w:kern w:val="0"/>
          <w:sz w:val="24"/>
          <w:szCs w:val="24"/>
          <w:lang w:eastAsia="en-GB"/>
          <w14:ligatures w14:val="none"/>
        </w:rPr>
        <w:t>Ex-</w:t>
      </w:r>
      <w:r>
        <w:rPr>
          <w:rFonts w:ascii="Aptos" w:eastAsia="Times New Roman" w:hAnsi="Aptos" w:cs="Segoe UI"/>
          <w:color w:val="000000" w:themeColor="text1"/>
          <w:kern w:val="0"/>
          <w:sz w:val="24"/>
          <w:szCs w:val="24"/>
          <w:lang w:eastAsia="en-GB"/>
          <w14:ligatures w14:val="none"/>
        </w:rPr>
        <w:t>t</w:t>
      </w:r>
      <w:r w:rsidRPr="002A6684">
        <w:rPr>
          <w:rFonts w:ascii="Aptos" w:eastAsia="Times New Roman" w:hAnsi="Aptos" w:cs="Segoe UI"/>
          <w:color w:val="000000" w:themeColor="text1"/>
          <w:kern w:val="0"/>
          <w:sz w:val="24"/>
          <w:szCs w:val="24"/>
          <w:lang w:eastAsia="en-GB"/>
          <w14:ligatures w14:val="none"/>
        </w:rPr>
        <w:t xml:space="preserve">ech Signalling designs and manufactures visible and audible signalling products for hazardous areas. </w:t>
      </w:r>
      <w:r>
        <w:rPr>
          <w:rFonts w:ascii="Aptos" w:eastAsia="Times New Roman" w:hAnsi="Aptos" w:cs="Segoe UI"/>
          <w:color w:val="000000" w:themeColor="text1"/>
          <w:kern w:val="0"/>
          <w:sz w:val="24"/>
          <w:szCs w:val="24"/>
          <w:lang w:eastAsia="en-GB"/>
          <w14:ligatures w14:val="none"/>
        </w:rPr>
        <w:t>These</w:t>
      </w:r>
      <w:r w:rsidRPr="002A6684">
        <w:rPr>
          <w:rFonts w:ascii="Aptos" w:eastAsia="Times New Roman" w:hAnsi="Aptos" w:cs="Segoe UI"/>
          <w:color w:val="000000" w:themeColor="text1"/>
          <w:kern w:val="0"/>
          <w:sz w:val="24"/>
          <w:szCs w:val="24"/>
          <w:lang w:eastAsia="en-GB"/>
          <w14:ligatures w14:val="none"/>
        </w:rPr>
        <w:t xml:space="preserve"> ATEX and IECEx certified sounders, beacons, manual call points, and push buttons are trusted across hydrogen, methanol, and syngas sites</w:t>
      </w:r>
      <w:r>
        <w:rPr>
          <w:rFonts w:ascii="Aptos" w:eastAsia="Times New Roman" w:hAnsi="Aptos" w:cs="Segoe UI"/>
          <w:color w:val="000000" w:themeColor="text1"/>
          <w:kern w:val="0"/>
          <w:sz w:val="24"/>
          <w:szCs w:val="24"/>
          <w:lang w:eastAsia="en-GB"/>
          <w14:ligatures w14:val="none"/>
        </w:rPr>
        <w:t xml:space="preserve">, </w:t>
      </w:r>
      <w:r w:rsidRPr="002A6684">
        <w:rPr>
          <w:rFonts w:ascii="Aptos" w:eastAsia="Times New Roman" w:hAnsi="Aptos" w:cs="Segoe UI"/>
          <w:color w:val="000000" w:themeColor="text1"/>
          <w:kern w:val="0"/>
          <w:sz w:val="24"/>
          <w:szCs w:val="24"/>
          <w:lang w:eastAsia="en-GB"/>
          <w14:ligatures w14:val="none"/>
        </w:rPr>
        <w:t>helping to ensure safety today and in a lower-carbon future.</w:t>
      </w:r>
    </w:p>
    <w:p w14:paraId="51668AF2" w14:textId="77777777" w:rsidR="002A6684" w:rsidRPr="002A6684" w:rsidRDefault="002A6684" w:rsidP="002A6684">
      <w:pPr>
        <w:shd w:val="clear" w:color="auto" w:fill="FAFAFA"/>
        <w:spacing w:before="180" w:after="60" w:line="360" w:lineRule="atLeast"/>
        <w:outlineLvl w:val="3"/>
        <w:rPr>
          <w:rFonts w:ascii="Aptos" w:eastAsia="Times New Roman" w:hAnsi="Aptos" w:cs="Segoe UI"/>
          <w:b/>
          <w:bCs/>
          <w:color w:val="000000" w:themeColor="text1"/>
          <w:kern w:val="0"/>
          <w:sz w:val="27"/>
          <w:szCs w:val="27"/>
          <w:lang w:eastAsia="en-GB"/>
          <w14:ligatures w14:val="none"/>
        </w:rPr>
      </w:pPr>
      <w:r w:rsidRPr="002A6684">
        <w:rPr>
          <w:rFonts w:ascii="Aptos" w:eastAsia="Times New Roman" w:hAnsi="Aptos" w:cs="Segoe UI"/>
          <w:b/>
          <w:bCs/>
          <w:color w:val="000000" w:themeColor="text1"/>
          <w:kern w:val="0"/>
          <w:sz w:val="27"/>
          <w:szCs w:val="27"/>
          <w:lang w:eastAsia="en-GB"/>
          <w14:ligatures w14:val="none"/>
        </w:rPr>
        <w:t>Key Applications:</w:t>
      </w:r>
    </w:p>
    <w:p w14:paraId="65ED3FFA" w14:textId="77777777" w:rsidR="002A6684" w:rsidRPr="002A6684" w:rsidRDefault="002A6684" w:rsidP="002A6684">
      <w:pPr>
        <w:numPr>
          <w:ilvl w:val="0"/>
          <w:numId w:val="1"/>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Electrolysis halls</w:t>
      </w:r>
    </w:p>
    <w:p w14:paraId="59BC4065" w14:textId="77777777" w:rsidR="002A6684" w:rsidRPr="002A6684" w:rsidRDefault="002A6684" w:rsidP="002A6684">
      <w:pPr>
        <w:numPr>
          <w:ilvl w:val="0"/>
          <w:numId w:val="1"/>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Compression and storage areas</w:t>
      </w:r>
    </w:p>
    <w:p w14:paraId="25FF5615" w14:textId="77777777" w:rsidR="002A6684" w:rsidRPr="002A6684" w:rsidRDefault="002A6684" w:rsidP="002A6684">
      <w:pPr>
        <w:numPr>
          <w:ilvl w:val="0"/>
          <w:numId w:val="1"/>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Methanol synthesis units</w:t>
      </w:r>
    </w:p>
    <w:p w14:paraId="4F9632FA" w14:textId="77777777" w:rsidR="002A6684" w:rsidRPr="002A6684" w:rsidRDefault="002A6684" w:rsidP="002A6684">
      <w:pPr>
        <w:numPr>
          <w:ilvl w:val="0"/>
          <w:numId w:val="1"/>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 xml:space="preserve">Ammonia </w:t>
      </w:r>
      <w:proofErr w:type="gramStart"/>
      <w:r w:rsidRPr="002A6684">
        <w:rPr>
          <w:rFonts w:ascii="Aptos" w:eastAsia="Times New Roman" w:hAnsi="Aptos" w:cs="Segoe UI"/>
          <w:b/>
          <w:bCs/>
          <w:color w:val="000000" w:themeColor="text1"/>
          <w:kern w:val="0"/>
          <w:sz w:val="24"/>
          <w:szCs w:val="24"/>
          <w:lang w:eastAsia="en-GB"/>
          <w14:ligatures w14:val="none"/>
        </w:rPr>
        <w:t>import</w:t>
      </w:r>
      <w:proofErr w:type="gramEnd"/>
      <w:r w:rsidRPr="002A6684">
        <w:rPr>
          <w:rFonts w:ascii="Aptos" w:eastAsia="Times New Roman" w:hAnsi="Aptos" w:cs="Segoe UI"/>
          <w:b/>
          <w:bCs/>
          <w:color w:val="000000" w:themeColor="text1"/>
          <w:kern w:val="0"/>
          <w:sz w:val="24"/>
          <w:szCs w:val="24"/>
          <w:lang w:eastAsia="en-GB"/>
          <w14:ligatures w14:val="none"/>
        </w:rPr>
        <w:t xml:space="preserve"> and cracking facilities</w:t>
      </w:r>
    </w:p>
    <w:p w14:paraId="502E885F" w14:textId="77777777" w:rsidR="002A6684" w:rsidRPr="002A6684" w:rsidRDefault="002A6684" w:rsidP="002A6684">
      <w:pPr>
        <w:shd w:val="clear" w:color="auto" w:fill="FAFAFA"/>
        <w:spacing w:before="195" w:after="45" w:line="420" w:lineRule="atLeast"/>
        <w:outlineLvl w:val="2"/>
        <w:rPr>
          <w:rFonts w:ascii="Aptos" w:eastAsia="Times New Roman" w:hAnsi="Aptos" w:cs="Segoe UI"/>
          <w:b/>
          <w:bCs/>
          <w:color w:val="000000" w:themeColor="text1"/>
          <w:kern w:val="0"/>
          <w:sz w:val="30"/>
          <w:szCs w:val="30"/>
          <w:lang w:eastAsia="en-GB"/>
          <w14:ligatures w14:val="none"/>
        </w:rPr>
      </w:pPr>
      <w:r w:rsidRPr="002A6684">
        <w:rPr>
          <w:rFonts w:ascii="Aptos" w:eastAsia="Times New Roman" w:hAnsi="Aptos" w:cs="Segoe UI"/>
          <w:b/>
          <w:bCs/>
          <w:color w:val="000000" w:themeColor="text1"/>
          <w:kern w:val="0"/>
          <w:sz w:val="30"/>
          <w:szCs w:val="30"/>
          <w:lang w:eastAsia="en-GB"/>
          <w14:ligatures w14:val="none"/>
        </w:rPr>
        <w:t>Product Highlights</w:t>
      </w:r>
    </w:p>
    <w:p w14:paraId="24327F67" w14:textId="77777777" w:rsidR="002A6684" w:rsidRPr="002A6684" w:rsidRDefault="002A6684" w:rsidP="002A6684">
      <w:pPr>
        <w:numPr>
          <w:ilvl w:val="0"/>
          <w:numId w:val="2"/>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Explosion Proof Sounders:</w:t>
      </w:r>
      <w:r w:rsidRPr="002A6684">
        <w:rPr>
          <w:rFonts w:ascii="Aptos" w:eastAsia="Times New Roman" w:hAnsi="Aptos" w:cs="Segoe UI"/>
          <w:color w:val="000000" w:themeColor="text1"/>
          <w:kern w:val="0"/>
          <w:sz w:val="24"/>
          <w:szCs w:val="24"/>
          <w:lang w:eastAsia="en-GB"/>
          <w14:ligatures w14:val="none"/>
        </w:rPr>
        <w:t> SD150 (GRP) and SD125 (Stainless Steel) – ATEX/IECEx and SIL2 compliant, engineered for loud, clear alerts in Zone 1 or 2, onshore and offshore.</w:t>
      </w:r>
    </w:p>
    <w:p w14:paraId="404E528F" w14:textId="77777777" w:rsidR="002A6684" w:rsidRPr="002A6684" w:rsidRDefault="002A6684" w:rsidP="002A6684">
      <w:pPr>
        <w:numPr>
          <w:ilvl w:val="0"/>
          <w:numId w:val="2"/>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Explosion Proof Beacons &amp; Status Lights:</w:t>
      </w:r>
      <w:r w:rsidRPr="002A6684">
        <w:rPr>
          <w:rFonts w:ascii="Aptos" w:eastAsia="Times New Roman" w:hAnsi="Aptos" w:cs="Segoe UI"/>
          <w:color w:val="000000" w:themeColor="text1"/>
          <w:kern w:val="0"/>
          <w:sz w:val="24"/>
          <w:szCs w:val="24"/>
          <w:lang w:eastAsia="en-GB"/>
          <w14:ligatures w14:val="none"/>
        </w:rPr>
        <w:t> BC150 (GRP) and BC125 (Stainless Steel) – High-visibility warning, ATEX/IECEx certified, SIL2 options.</w:t>
      </w:r>
    </w:p>
    <w:p w14:paraId="17C1FE03" w14:textId="77777777" w:rsidR="002A6684" w:rsidRPr="002A6684" w:rsidRDefault="002A6684" w:rsidP="002A6684">
      <w:pPr>
        <w:numPr>
          <w:ilvl w:val="0"/>
          <w:numId w:val="2"/>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Explosion Proof Call Points:</w:t>
      </w:r>
      <w:r w:rsidRPr="002A6684">
        <w:rPr>
          <w:rFonts w:ascii="Aptos" w:eastAsia="Times New Roman" w:hAnsi="Aptos" w:cs="Segoe UI"/>
          <w:color w:val="000000" w:themeColor="text1"/>
          <w:kern w:val="0"/>
          <w:sz w:val="24"/>
          <w:szCs w:val="24"/>
          <w:lang w:eastAsia="en-GB"/>
          <w14:ligatures w14:val="none"/>
        </w:rPr>
        <w:t> CP125 – Flameproof manual call point, optional SIL2, designed for corrosive environments and compatible with PLC/ESD/DCS systems.</w:t>
      </w:r>
    </w:p>
    <w:p w14:paraId="083A6633" w14:textId="77777777" w:rsidR="002A6684" w:rsidRPr="002A6684" w:rsidRDefault="002A6684" w:rsidP="002A6684">
      <w:pPr>
        <w:numPr>
          <w:ilvl w:val="0"/>
          <w:numId w:val="2"/>
        </w:numPr>
        <w:shd w:val="clear" w:color="auto" w:fill="FAFAFA"/>
        <w:spacing w:before="100" w:beforeAutospacing="1" w:after="100" w:afterAutospacing="1"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Explosion Proof Push Buttons:</w:t>
      </w:r>
      <w:r w:rsidRPr="002A6684">
        <w:rPr>
          <w:rFonts w:ascii="Aptos" w:eastAsia="Times New Roman" w:hAnsi="Aptos" w:cs="Segoe UI"/>
          <w:color w:val="000000" w:themeColor="text1"/>
          <w:kern w:val="0"/>
          <w:sz w:val="24"/>
          <w:szCs w:val="24"/>
          <w:lang w:eastAsia="en-GB"/>
          <w14:ligatures w14:val="none"/>
        </w:rPr>
        <w:t> PB135 (GRP) and PB125 (Stainless Steel) – Essential for manual emergency shutdowns and F&amp;G system integration.</w:t>
      </w:r>
    </w:p>
    <w:p w14:paraId="436F7357" w14:textId="77777777" w:rsidR="002A6684" w:rsidRPr="002A6684" w:rsidRDefault="002A6684" w:rsidP="002A6684">
      <w:pPr>
        <w:shd w:val="clear" w:color="auto" w:fill="FAFAFA"/>
        <w:spacing w:before="120" w:after="60"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color w:val="000000" w:themeColor="text1"/>
          <w:kern w:val="0"/>
          <w:sz w:val="24"/>
          <w:szCs w:val="24"/>
          <w:lang w:eastAsia="en-GB"/>
          <w14:ligatures w14:val="none"/>
        </w:rPr>
        <w:t>All Ex-Tech Signalling products are ATEX/IECEx certified and SIL2 rated, ensuring compliance and reliability in the most demanding environments.</w:t>
      </w:r>
    </w:p>
    <w:p w14:paraId="11D3DCA3" w14:textId="3006B769" w:rsidR="002A6684" w:rsidRPr="002A6684" w:rsidRDefault="002A6684" w:rsidP="002A6684">
      <w:pPr>
        <w:shd w:val="clear" w:color="auto" w:fill="FAFAFA"/>
        <w:spacing w:before="180" w:after="60" w:line="480" w:lineRule="atLeast"/>
        <w:outlineLvl w:val="1"/>
        <w:rPr>
          <w:rFonts w:ascii="Aptos" w:eastAsia="Times New Roman" w:hAnsi="Aptos" w:cs="Segoe UI"/>
          <w:b/>
          <w:bCs/>
          <w:color w:val="FF0000"/>
          <w:spacing w:val="-4"/>
          <w:kern w:val="0"/>
          <w:sz w:val="36"/>
          <w:szCs w:val="36"/>
          <w:lang w:eastAsia="en-GB"/>
          <w14:ligatures w14:val="none"/>
        </w:rPr>
      </w:pPr>
      <w:r>
        <w:rPr>
          <w:rFonts w:ascii="Aptos" w:eastAsia="Times New Roman" w:hAnsi="Aptos" w:cs="Segoe UI"/>
          <w:b/>
          <w:bCs/>
          <w:color w:val="000000" w:themeColor="text1"/>
          <w:spacing w:val="-4"/>
          <w:kern w:val="0"/>
          <w:sz w:val="36"/>
          <w:szCs w:val="36"/>
          <w:lang w:eastAsia="en-GB"/>
          <w14:ligatures w14:val="none"/>
        </w:rPr>
        <w:lastRenderedPageBreak/>
        <w:t xml:space="preserve">ATEX/ IECEx Certified Signalling Devices from </w:t>
      </w:r>
      <w:r w:rsidRPr="002A6684">
        <w:rPr>
          <w:rFonts w:ascii="Aptos" w:eastAsia="Times New Roman" w:hAnsi="Aptos" w:cs="Segoe UI"/>
          <w:b/>
          <w:bCs/>
          <w:color w:val="FF0000"/>
          <w:spacing w:val="-4"/>
          <w:kern w:val="0"/>
          <w:sz w:val="36"/>
          <w:szCs w:val="36"/>
          <w:lang w:eastAsia="en-GB"/>
          <w14:ligatures w14:val="none"/>
        </w:rPr>
        <w:t>[Channel Partner Name]</w:t>
      </w:r>
    </w:p>
    <w:p w14:paraId="07C41E3A" w14:textId="664F05D0" w:rsidR="002A6684" w:rsidRPr="002A6684" w:rsidRDefault="002A6684" w:rsidP="002A6684">
      <w:pPr>
        <w:shd w:val="clear" w:color="auto" w:fill="FAFAFA"/>
        <w:spacing w:before="120" w:after="60"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color w:val="000000" w:themeColor="text1"/>
          <w:kern w:val="0"/>
          <w:sz w:val="24"/>
          <w:szCs w:val="24"/>
          <w:lang w:eastAsia="en-GB"/>
          <w14:ligatures w14:val="none"/>
        </w:rPr>
        <w:t xml:space="preserve">Whether you’re building new hydrogen and synfuel plants or upgrading existing sites, </w:t>
      </w:r>
      <w:r>
        <w:rPr>
          <w:rFonts w:ascii="Aptos" w:eastAsia="Times New Roman" w:hAnsi="Aptos" w:cs="Segoe UI"/>
          <w:color w:val="000000" w:themeColor="text1"/>
          <w:kern w:val="0"/>
          <w:sz w:val="24"/>
          <w:szCs w:val="24"/>
          <w:lang w:eastAsia="en-GB"/>
          <w14:ligatures w14:val="none"/>
        </w:rPr>
        <w:t xml:space="preserve">as official channel partner of Ex-tech Signalling in </w:t>
      </w:r>
      <w:r w:rsidRPr="002A6684">
        <w:rPr>
          <w:rFonts w:ascii="Aptos" w:eastAsia="Times New Roman" w:hAnsi="Aptos" w:cs="Segoe UI"/>
          <w:b/>
          <w:bCs/>
          <w:color w:val="FF0000"/>
          <w:kern w:val="0"/>
          <w:sz w:val="24"/>
          <w:szCs w:val="24"/>
          <w:lang w:eastAsia="en-GB"/>
          <w14:ligatures w14:val="none"/>
        </w:rPr>
        <w:t>[Region]</w:t>
      </w:r>
      <w:r w:rsidRPr="002A6684">
        <w:rPr>
          <w:rFonts w:ascii="Aptos" w:eastAsia="Times New Roman" w:hAnsi="Aptos" w:cs="Segoe UI"/>
          <w:b/>
          <w:bCs/>
          <w:color w:val="FF0000"/>
          <w:kern w:val="0"/>
          <w:sz w:val="24"/>
          <w:szCs w:val="24"/>
          <w:lang w:eastAsia="en-GB"/>
          <w14:ligatures w14:val="none"/>
        </w:rPr>
        <w:t>,</w:t>
      </w:r>
      <w:r w:rsidRPr="002A6684">
        <w:rPr>
          <w:rFonts w:ascii="Aptos" w:eastAsia="Times New Roman" w:hAnsi="Aptos" w:cs="Segoe UI"/>
          <w:color w:val="FF0000"/>
          <w:kern w:val="0"/>
          <w:sz w:val="24"/>
          <w:szCs w:val="24"/>
          <w:lang w:eastAsia="en-GB"/>
          <w14:ligatures w14:val="none"/>
        </w:rPr>
        <w:t xml:space="preserve"> </w:t>
      </w:r>
      <w:r w:rsidRPr="002A6684">
        <w:rPr>
          <w:rFonts w:ascii="Aptos" w:eastAsia="Times New Roman" w:hAnsi="Aptos" w:cs="Segoe UI"/>
          <w:color w:val="000000" w:themeColor="text1"/>
          <w:kern w:val="0"/>
          <w:sz w:val="24"/>
          <w:szCs w:val="24"/>
          <w:lang w:eastAsia="en-GB"/>
          <w14:ligatures w14:val="none"/>
        </w:rPr>
        <w:t xml:space="preserve">we provide </w:t>
      </w:r>
      <w:r>
        <w:rPr>
          <w:rFonts w:ascii="Aptos" w:eastAsia="Times New Roman" w:hAnsi="Aptos" w:cs="Segoe UI"/>
          <w:color w:val="000000" w:themeColor="text1"/>
          <w:kern w:val="0"/>
          <w:sz w:val="24"/>
          <w:szCs w:val="24"/>
          <w:lang w:eastAsia="en-GB"/>
          <w14:ligatures w14:val="none"/>
        </w:rPr>
        <w:t xml:space="preserve">the </w:t>
      </w:r>
      <w:r w:rsidRPr="002A6684">
        <w:rPr>
          <w:rFonts w:ascii="Aptos" w:eastAsia="Times New Roman" w:hAnsi="Aptos" w:cs="Segoe UI"/>
          <w:color w:val="000000" w:themeColor="text1"/>
          <w:kern w:val="0"/>
          <w:sz w:val="24"/>
          <w:szCs w:val="24"/>
          <w:lang w:eastAsia="en-GB"/>
          <w14:ligatures w14:val="none"/>
        </w:rPr>
        <w:t>reliable solutions you need</w:t>
      </w:r>
      <w:r>
        <w:rPr>
          <w:rFonts w:ascii="Aptos" w:eastAsia="Times New Roman" w:hAnsi="Aptos" w:cs="Segoe UI"/>
          <w:color w:val="000000" w:themeColor="text1"/>
          <w:kern w:val="0"/>
          <w:sz w:val="24"/>
          <w:szCs w:val="24"/>
          <w:lang w:eastAsia="en-GB"/>
          <w14:ligatures w14:val="none"/>
        </w:rPr>
        <w:t xml:space="preserve"> for safety systems in hazardous areas</w:t>
      </w:r>
      <w:r w:rsidRPr="002A6684">
        <w:rPr>
          <w:rFonts w:ascii="Aptos" w:eastAsia="Times New Roman" w:hAnsi="Aptos" w:cs="Segoe UI"/>
          <w:color w:val="000000" w:themeColor="text1"/>
          <w:kern w:val="0"/>
          <w:sz w:val="24"/>
          <w:szCs w:val="24"/>
          <w:lang w:eastAsia="en-GB"/>
          <w14:ligatures w14:val="none"/>
        </w:rPr>
        <w:t xml:space="preserve">. </w:t>
      </w:r>
    </w:p>
    <w:p w14:paraId="09C855B7" w14:textId="77777777" w:rsidR="002A6684" w:rsidRPr="002A6684" w:rsidRDefault="002A6684" w:rsidP="002A6684">
      <w:pPr>
        <w:shd w:val="clear" w:color="auto" w:fill="FAFAFA"/>
        <w:spacing w:before="120" w:after="60" w:line="240" w:lineRule="auto"/>
        <w:rPr>
          <w:rFonts w:ascii="Aptos" w:eastAsia="Times New Roman" w:hAnsi="Aptos" w:cs="Segoe UI"/>
          <w:color w:val="000000" w:themeColor="text1"/>
          <w:kern w:val="0"/>
          <w:sz w:val="24"/>
          <w:szCs w:val="24"/>
          <w:lang w:eastAsia="en-GB"/>
          <w14:ligatures w14:val="none"/>
        </w:rPr>
      </w:pPr>
      <w:r w:rsidRPr="002A6684">
        <w:rPr>
          <w:rFonts w:ascii="Aptos" w:eastAsia="Times New Roman" w:hAnsi="Aptos" w:cs="Segoe UI"/>
          <w:b/>
          <w:bCs/>
          <w:color w:val="000000" w:themeColor="text1"/>
          <w:kern w:val="0"/>
          <w:sz w:val="24"/>
          <w:szCs w:val="24"/>
          <w:lang w:eastAsia="en-GB"/>
          <w14:ligatures w14:val="none"/>
        </w:rPr>
        <w:t>Contact us for technical support, product selection, or to discuss your next project.</w:t>
      </w:r>
    </w:p>
    <w:p w14:paraId="27BA438C" w14:textId="77777777" w:rsidR="004E31C6" w:rsidRPr="002A6684" w:rsidRDefault="004E31C6">
      <w:pPr>
        <w:rPr>
          <w:rFonts w:ascii="Aptos" w:hAnsi="Aptos"/>
          <w:color w:val="000000" w:themeColor="text1"/>
        </w:rPr>
      </w:pPr>
    </w:p>
    <w:sectPr w:rsidR="004E31C6" w:rsidRPr="002A6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43E3B"/>
    <w:multiLevelType w:val="multilevel"/>
    <w:tmpl w:val="4754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4E0259"/>
    <w:multiLevelType w:val="multilevel"/>
    <w:tmpl w:val="7384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B2791F"/>
    <w:multiLevelType w:val="multilevel"/>
    <w:tmpl w:val="C05E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463AA6"/>
    <w:multiLevelType w:val="multilevel"/>
    <w:tmpl w:val="72FE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DB359B"/>
    <w:multiLevelType w:val="multilevel"/>
    <w:tmpl w:val="53A0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3701647">
    <w:abstractNumId w:val="0"/>
  </w:num>
  <w:num w:numId="2" w16cid:durableId="1847674356">
    <w:abstractNumId w:val="3"/>
  </w:num>
  <w:num w:numId="3" w16cid:durableId="1563834636">
    <w:abstractNumId w:val="1"/>
  </w:num>
  <w:num w:numId="4" w16cid:durableId="1242638994">
    <w:abstractNumId w:val="4"/>
  </w:num>
  <w:num w:numId="5" w16cid:durableId="1478912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84"/>
    <w:rsid w:val="002A6684"/>
    <w:rsid w:val="004E3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F2C7"/>
  <w15:chartTrackingRefBased/>
  <w15:docId w15:val="{30261647-F9D5-4960-91A0-FAC98027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668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A668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2A668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6684"/>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A6684"/>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2A6684"/>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2A66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A6684"/>
    <w:rPr>
      <w:b/>
      <w:bCs/>
    </w:rPr>
  </w:style>
  <w:style w:type="character" w:styleId="Emphasis">
    <w:name w:val="Emphasis"/>
    <w:basedOn w:val="DefaultParagraphFont"/>
    <w:uiPriority w:val="20"/>
    <w:qFormat/>
    <w:rsid w:val="002A6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22" ma:contentTypeDescription="Create a new document." ma:contentTypeScope="" ma:versionID="34947cbddad06c6d753089cf74f738f0">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cd6fabe0092cfb803e815b9d27060ba0"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60563c-13b8-4355-82f3-baa1017a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8708d-d6a0-4fd3-9b39-90628c3b5a2b}" ma:internalName="TaxCatchAll" ma:showField="CatchAllData" ma:web="c8da4e10-52d5-4668-9841-d7817def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ed08a-00ef-467b-8b0c-4407ac5c8df0">
      <Terms xmlns="http://schemas.microsoft.com/office/infopath/2007/PartnerControls"/>
    </lcf76f155ced4ddcb4097134ff3c332f>
    <TaxCatchAll xmlns="c8da4e10-52d5-4668-9841-d7817def17ec" xsi:nil="true"/>
  </documentManagement>
</p:properties>
</file>

<file path=customXml/itemProps1.xml><?xml version="1.0" encoding="utf-8"?>
<ds:datastoreItem xmlns:ds="http://schemas.openxmlformats.org/officeDocument/2006/customXml" ds:itemID="{78870A80-F86F-4124-B34E-F1C16A65B999}"/>
</file>

<file path=customXml/itemProps2.xml><?xml version="1.0" encoding="utf-8"?>
<ds:datastoreItem xmlns:ds="http://schemas.openxmlformats.org/officeDocument/2006/customXml" ds:itemID="{75D89C4C-BBE1-48B1-8AB7-674B371F65D1}"/>
</file>

<file path=customXml/itemProps3.xml><?xml version="1.0" encoding="utf-8"?>
<ds:datastoreItem xmlns:ds="http://schemas.openxmlformats.org/officeDocument/2006/customXml" ds:itemID="{9949C09F-7C13-4198-BBD3-D86EE9C20039}"/>
</file>

<file path=docProps/app.xml><?xml version="1.0" encoding="utf-8"?>
<Properties xmlns="http://schemas.openxmlformats.org/officeDocument/2006/extended-properties" xmlns:vt="http://schemas.openxmlformats.org/officeDocument/2006/docPropsVTypes">
  <Template>Normal</Template>
  <TotalTime>43</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Neashem</dc:creator>
  <cp:keywords/>
  <dc:description/>
  <cp:lastModifiedBy>Laura Neashem</cp:lastModifiedBy>
  <cp:revision>2</cp:revision>
  <dcterms:created xsi:type="dcterms:W3CDTF">2025-09-23T09:09:00Z</dcterms:created>
  <dcterms:modified xsi:type="dcterms:W3CDTF">2025-09-23T09:09:00Z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0x010100ED2DD1BFDFF77A47A846CD8D6E34EB6B</vt:lpwstr>
  </property>
</Properties>
</file>